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A96" w:rsidRPr="00545EB3" w:rsidRDefault="00AF5A96" w:rsidP="00AF5A96">
      <w:pPr>
        <w:autoSpaceDE w:val="0"/>
        <w:autoSpaceDN w:val="0"/>
        <w:adjustRightInd w:val="0"/>
        <w:jc w:val="center"/>
        <w:rPr>
          <w:rFonts w:ascii="標楷體" w:eastAsia="標楷體" w:cs="標楷體"/>
          <w:b/>
          <w:kern w:val="0"/>
          <w:sz w:val="32"/>
          <w:szCs w:val="32"/>
        </w:rPr>
      </w:pPr>
      <w:bookmarkStart w:id="0" w:name="OLE_LINK1"/>
      <w:bookmarkStart w:id="1" w:name="OLE_LINK2"/>
      <w:r w:rsidRPr="00545EB3">
        <w:rPr>
          <w:rFonts w:ascii="標楷體" w:eastAsia="標楷體" w:cs="標楷體" w:hint="eastAsia"/>
          <w:b/>
          <w:kern w:val="0"/>
          <w:sz w:val="32"/>
          <w:szCs w:val="32"/>
        </w:rPr>
        <w:t>華德學校財團法人高雄市華德高級工業家事職業學校</w:t>
      </w:r>
    </w:p>
    <w:p w:rsidR="00AF5A96" w:rsidRPr="00545EB3" w:rsidRDefault="00AF5A96" w:rsidP="00AF5A96">
      <w:pPr>
        <w:jc w:val="center"/>
        <w:rPr>
          <w:rFonts w:ascii="標楷體" w:eastAsia="標楷體" w:hAnsi="標楷體"/>
          <w:b/>
          <w:sz w:val="32"/>
          <w:szCs w:val="32"/>
        </w:rPr>
      </w:pPr>
      <w:r w:rsidRPr="00545EB3">
        <w:rPr>
          <w:rFonts w:ascii="標楷體" w:eastAsia="標楷體" w:hAnsi="標楷體" w:hint="eastAsia"/>
          <w:b/>
          <w:sz w:val="32"/>
          <w:szCs w:val="32"/>
        </w:rPr>
        <w:t>學生學習評量辦法補充規定</w:t>
      </w:r>
    </w:p>
    <w:p w:rsidR="00AF5A96" w:rsidRPr="00545EB3" w:rsidRDefault="00AF5A96" w:rsidP="00AF5A96">
      <w:pPr>
        <w:spacing w:line="0" w:lineRule="atLeast"/>
        <w:jc w:val="right"/>
        <w:rPr>
          <w:rFonts w:ascii="標楷體" w:eastAsia="標楷體" w:hAnsi="標楷體"/>
          <w:sz w:val="20"/>
          <w:szCs w:val="20"/>
        </w:rPr>
      </w:pPr>
      <w:r w:rsidRPr="00545EB3">
        <w:rPr>
          <w:rFonts w:ascii="標楷體" w:eastAsia="標楷體" w:hAnsi="標楷體" w:hint="eastAsia"/>
          <w:szCs w:val="24"/>
        </w:rPr>
        <w:t xml:space="preserve"> </w:t>
      </w:r>
      <w:r w:rsidRPr="00545EB3">
        <w:rPr>
          <w:rFonts w:ascii="標楷體" w:eastAsia="標楷體" w:hAnsi="標楷體" w:hint="eastAsia"/>
          <w:sz w:val="20"/>
          <w:szCs w:val="20"/>
        </w:rPr>
        <w:t>103 年 8 月 29 日校務會議訂定</w:t>
      </w:r>
    </w:p>
    <w:p w:rsidR="00AF5A96" w:rsidRPr="00545EB3" w:rsidRDefault="00AF5A96" w:rsidP="00AF5A96">
      <w:pPr>
        <w:spacing w:line="0" w:lineRule="atLeast"/>
        <w:jc w:val="right"/>
        <w:rPr>
          <w:rFonts w:ascii="標楷體" w:eastAsia="標楷體" w:hAnsi="標楷體"/>
          <w:sz w:val="20"/>
          <w:szCs w:val="20"/>
        </w:rPr>
      </w:pPr>
      <w:r w:rsidRPr="00545EB3">
        <w:rPr>
          <w:rFonts w:ascii="標楷體" w:eastAsia="標楷體" w:hAnsi="標楷體" w:hint="eastAsia"/>
          <w:sz w:val="20"/>
          <w:szCs w:val="20"/>
        </w:rPr>
        <w:t xml:space="preserve">108 年 </w:t>
      </w:r>
      <w:r w:rsidR="00FA714F">
        <w:rPr>
          <w:rFonts w:ascii="標楷體" w:eastAsia="標楷體" w:hAnsi="標楷體"/>
          <w:sz w:val="20"/>
          <w:szCs w:val="20"/>
        </w:rPr>
        <w:t>10</w:t>
      </w:r>
      <w:r w:rsidRPr="00545EB3">
        <w:rPr>
          <w:rFonts w:ascii="標楷體" w:eastAsia="標楷體" w:hAnsi="標楷體" w:hint="eastAsia"/>
          <w:sz w:val="20"/>
          <w:szCs w:val="20"/>
        </w:rPr>
        <w:t xml:space="preserve"> 月 </w:t>
      </w:r>
      <w:r w:rsidR="00FA714F">
        <w:rPr>
          <w:rFonts w:ascii="標楷體" w:eastAsia="標楷體" w:hAnsi="標楷體"/>
          <w:sz w:val="20"/>
          <w:szCs w:val="20"/>
        </w:rPr>
        <w:t>7</w:t>
      </w:r>
      <w:r w:rsidRPr="00545EB3">
        <w:rPr>
          <w:rFonts w:ascii="標楷體" w:eastAsia="標楷體" w:hAnsi="標楷體" w:hint="eastAsia"/>
          <w:sz w:val="20"/>
          <w:szCs w:val="20"/>
        </w:rPr>
        <w:t xml:space="preserve"> 日校務會議修訂</w:t>
      </w:r>
    </w:p>
    <w:p w:rsidR="00AF5A96" w:rsidRPr="00545EB3" w:rsidRDefault="00AF5A96" w:rsidP="00AF5A96">
      <w:pPr>
        <w:spacing w:line="0" w:lineRule="atLeast"/>
        <w:rPr>
          <w:rFonts w:ascii="標楷體" w:eastAsia="標楷體" w:hAnsi="標楷體"/>
          <w:szCs w:val="24"/>
        </w:rPr>
      </w:pPr>
      <w:r w:rsidRPr="00545EB3">
        <w:rPr>
          <w:rFonts w:ascii="Times New Roman" w:hAnsi="Times New Roman"/>
          <w:szCs w:val="24"/>
        </w:rPr>
        <w:t xml:space="preserve"> </w:t>
      </w:r>
      <w:r w:rsidRPr="00545EB3">
        <w:rPr>
          <w:rFonts w:ascii="標楷體" w:eastAsia="標楷體" w:hAnsi="標楷體" w:hint="eastAsia"/>
          <w:szCs w:val="24"/>
        </w:rPr>
        <w:t xml:space="preserve">一、依據：本補充規定依「高級中等學校學生學習評量辦法」第27條規定訂定之。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二、學校學生學習評量，包括學業成績評量及德行評量。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三、學業成績評量</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百分制評定，按學生身心發展及個別差異，並依學科及活動之性質，兼</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顧認知、技能及情意等教學目標，</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 xml:space="preserve">多元評量方式，並於日常及定期為之。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四、學業成績評量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 xml:space="preserve">)一般科目及專業科目評量方式及成績計算比率：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1.日常考查：每一科目依其性質、學習評量時間得</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口頭問答、演示練習、實作</w:t>
      </w:r>
    </w:p>
    <w:p w:rsidR="000D527A"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(驗)、作文、作業(習作)、閱讀報告、隨堂測驗、</w:t>
      </w:r>
      <w:proofErr w:type="gramStart"/>
      <w:r w:rsidRPr="00545EB3">
        <w:rPr>
          <w:rFonts w:ascii="標楷體" w:eastAsia="標楷體" w:hAnsi="標楷體" w:hint="eastAsia"/>
          <w:szCs w:val="24"/>
        </w:rPr>
        <w:t>週</w:t>
      </w:r>
      <w:proofErr w:type="gramEnd"/>
      <w:r w:rsidRPr="00545EB3">
        <w:rPr>
          <w:rFonts w:ascii="標楷體" w:eastAsia="標楷體" w:hAnsi="標楷體" w:hint="eastAsia"/>
          <w:szCs w:val="24"/>
        </w:rPr>
        <w:t>考、段考等方</w:t>
      </w:r>
    </w:p>
    <w:p w:rsidR="000D527A" w:rsidRDefault="00AF5A96" w:rsidP="000D527A">
      <w:pPr>
        <w:spacing w:line="0" w:lineRule="atLeast"/>
        <w:ind w:firstLineChars="1100" w:firstLine="2640"/>
        <w:rPr>
          <w:rFonts w:ascii="標楷體" w:eastAsia="標楷體" w:hAnsi="標楷體"/>
          <w:szCs w:val="24"/>
        </w:rPr>
      </w:pPr>
      <w:r w:rsidRPr="00545EB3">
        <w:rPr>
          <w:rFonts w:ascii="標楷體" w:eastAsia="標楷體" w:hAnsi="標楷體" w:hint="eastAsia"/>
          <w:szCs w:val="24"/>
        </w:rPr>
        <w:t>式，由教學研究會或任課教師決定之。其成績占學期成績百分之四</w:t>
      </w:r>
    </w:p>
    <w:p w:rsidR="00AF5A96" w:rsidRPr="00545EB3" w:rsidRDefault="00AF5A96" w:rsidP="000D527A">
      <w:pPr>
        <w:spacing w:line="0" w:lineRule="atLeast"/>
        <w:ind w:firstLineChars="1100" w:firstLine="2640"/>
        <w:rPr>
          <w:rFonts w:ascii="標楷體" w:eastAsia="標楷體" w:hAnsi="標楷體"/>
          <w:szCs w:val="24"/>
        </w:rPr>
      </w:pPr>
      <w:r w:rsidRPr="00545EB3">
        <w:rPr>
          <w:rFonts w:ascii="標楷體" w:eastAsia="標楷體" w:hAnsi="標楷體" w:hint="eastAsia"/>
          <w:szCs w:val="24"/>
        </w:rPr>
        <w:t xml:space="preserve">十。 </w:t>
      </w:r>
    </w:p>
    <w:p w:rsidR="000D527A"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2.期中考查：每一科目得視其每週教學時(節)數之多寡，每學期舉行一至二次， </w:t>
      </w:r>
    </w:p>
    <w:p w:rsidR="000D527A" w:rsidRDefault="00AF5A96" w:rsidP="000D527A">
      <w:pPr>
        <w:spacing w:line="0" w:lineRule="atLeast"/>
        <w:ind w:firstLineChars="1100" w:firstLine="2640"/>
        <w:rPr>
          <w:rFonts w:ascii="標楷體" w:eastAsia="標楷體" w:hAnsi="標楷體"/>
          <w:szCs w:val="24"/>
        </w:rPr>
      </w:pPr>
      <w:r w:rsidRPr="00545EB3">
        <w:rPr>
          <w:rFonts w:ascii="標楷體" w:eastAsia="標楷體" w:hAnsi="標楷體" w:hint="eastAsia"/>
          <w:szCs w:val="24"/>
        </w:rPr>
        <w:t>以紙筆測驗為原則，得依科目或教學內容</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其他方式辦理，由教學</w:t>
      </w:r>
    </w:p>
    <w:p w:rsidR="00AF5A96" w:rsidRPr="00545EB3" w:rsidRDefault="00AF5A96" w:rsidP="000D527A">
      <w:pPr>
        <w:spacing w:line="0" w:lineRule="atLeast"/>
        <w:ind w:firstLineChars="1100" w:firstLine="2640"/>
        <w:rPr>
          <w:rFonts w:ascii="標楷體" w:eastAsia="標楷體" w:hAnsi="標楷體"/>
          <w:szCs w:val="24"/>
        </w:rPr>
      </w:pPr>
      <w:r w:rsidRPr="00545EB3">
        <w:rPr>
          <w:rFonts w:ascii="標楷體" w:eastAsia="標楷體" w:hAnsi="標楷體" w:hint="eastAsia"/>
          <w:szCs w:val="24"/>
        </w:rPr>
        <w:t>研究會決定之。其成績占學期成績百分之三十。</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3.期末考查：於每學期末就全</w:t>
      </w:r>
      <w:proofErr w:type="gramStart"/>
      <w:r w:rsidRPr="00545EB3">
        <w:rPr>
          <w:rFonts w:ascii="標楷體" w:eastAsia="標楷體" w:hAnsi="標楷體" w:hint="eastAsia"/>
          <w:szCs w:val="24"/>
        </w:rPr>
        <w:t>學期所授之</w:t>
      </w:r>
      <w:proofErr w:type="gramEnd"/>
      <w:r w:rsidRPr="00545EB3">
        <w:rPr>
          <w:rFonts w:ascii="標楷體" w:eastAsia="標楷體" w:hAnsi="標楷體" w:hint="eastAsia"/>
          <w:szCs w:val="24"/>
        </w:rPr>
        <w:t>教材評量之，其成績占學期成績百分之三</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 </w:t>
      </w:r>
    </w:p>
    <w:p w:rsidR="00AF5A96" w:rsidRPr="000D527A"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r w:rsidRPr="000D527A">
        <w:rPr>
          <w:rFonts w:ascii="標楷體" w:eastAsia="標楷體" w:hAnsi="標楷體" w:hint="eastAsia"/>
          <w:szCs w:val="24"/>
        </w:rPr>
        <w:t>(二)實習科目成績評量方式及成績計算比率：</w:t>
      </w:r>
    </w:p>
    <w:p w:rsidR="00AF5A96" w:rsidRPr="000D527A" w:rsidRDefault="00AF5A96" w:rsidP="00AF5A96">
      <w:pPr>
        <w:spacing w:line="0" w:lineRule="atLeast"/>
        <w:rPr>
          <w:rFonts w:ascii="標楷體" w:eastAsia="標楷體" w:hAnsi="標楷體"/>
          <w:szCs w:val="24"/>
        </w:rPr>
      </w:pPr>
      <w:r w:rsidRPr="000D527A">
        <w:rPr>
          <w:rFonts w:ascii="標楷體" w:eastAsia="標楷體" w:hAnsi="標楷體" w:hint="eastAsia"/>
          <w:szCs w:val="24"/>
        </w:rPr>
        <w:t xml:space="preserve">         1.職業道德：其成績占學期成績百分之三十。 </w:t>
      </w:r>
    </w:p>
    <w:p w:rsidR="00AF5A96" w:rsidRPr="000D527A" w:rsidRDefault="00AF5A96" w:rsidP="00AF5A96">
      <w:pPr>
        <w:spacing w:line="0" w:lineRule="atLeast"/>
        <w:rPr>
          <w:rFonts w:ascii="標楷體" w:eastAsia="標楷體" w:hAnsi="標楷體"/>
          <w:szCs w:val="24"/>
        </w:rPr>
      </w:pPr>
      <w:r w:rsidRPr="000D527A">
        <w:rPr>
          <w:rFonts w:ascii="標楷體" w:eastAsia="標楷體" w:hAnsi="標楷體" w:hint="eastAsia"/>
          <w:szCs w:val="24"/>
        </w:rPr>
        <w:t xml:space="preserve">         2.職業技能：每一科目依其性質得</w:t>
      </w:r>
      <w:proofErr w:type="gramStart"/>
      <w:r w:rsidRPr="000D527A">
        <w:rPr>
          <w:rFonts w:ascii="標楷體" w:eastAsia="標楷體" w:hAnsi="標楷體" w:hint="eastAsia"/>
          <w:szCs w:val="24"/>
        </w:rPr>
        <w:t>採</w:t>
      </w:r>
      <w:proofErr w:type="gramEnd"/>
      <w:r w:rsidRPr="000D527A">
        <w:rPr>
          <w:rFonts w:ascii="標楷體" w:eastAsia="標楷體" w:hAnsi="標楷體" w:hint="eastAsia"/>
          <w:szCs w:val="24"/>
        </w:rPr>
        <w:t>實習(驗)操作、報告、實作作業、作品等其他</w:t>
      </w:r>
    </w:p>
    <w:p w:rsidR="00AF5A96" w:rsidRPr="000D527A" w:rsidRDefault="00AF5A96" w:rsidP="00AF5A96">
      <w:pPr>
        <w:spacing w:line="0" w:lineRule="atLeast"/>
        <w:rPr>
          <w:rFonts w:ascii="標楷體" w:eastAsia="標楷體" w:hAnsi="標楷體"/>
          <w:szCs w:val="24"/>
        </w:rPr>
      </w:pPr>
      <w:r w:rsidRPr="000D527A">
        <w:rPr>
          <w:rFonts w:ascii="標楷體" w:eastAsia="標楷體" w:hAnsi="標楷體" w:hint="eastAsia"/>
          <w:szCs w:val="24"/>
        </w:rPr>
        <w:t xml:space="preserve">                     方式，由教學研究會或任課教師決定之。其成績占學期成績百分之四</w:t>
      </w:r>
    </w:p>
    <w:p w:rsidR="00AF5A96" w:rsidRPr="000D527A" w:rsidRDefault="00AF5A96" w:rsidP="00AF5A96">
      <w:pPr>
        <w:spacing w:line="0" w:lineRule="atLeast"/>
        <w:rPr>
          <w:rFonts w:ascii="標楷體" w:eastAsia="標楷體" w:hAnsi="標楷體"/>
          <w:szCs w:val="24"/>
        </w:rPr>
      </w:pPr>
      <w:r w:rsidRPr="000D527A">
        <w:rPr>
          <w:rFonts w:ascii="標楷體" w:eastAsia="標楷體" w:hAnsi="標楷體" w:hint="eastAsia"/>
          <w:szCs w:val="24"/>
        </w:rPr>
        <w:t xml:space="preserve">                     十。 </w:t>
      </w:r>
    </w:p>
    <w:p w:rsidR="00AF5A96" w:rsidRPr="000D527A" w:rsidRDefault="00AF5A96" w:rsidP="00AF5A96">
      <w:pPr>
        <w:spacing w:line="0" w:lineRule="atLeast"/>
        <w:rPr>
          <w:rFonts w:ascii="標楷體" w:eastAsia="標楷體" w:hAnsi="標楷體"/>
          <w:szCs w:val="24"/>
        </w:rPr>
      </w:pPr>
      <w:r w:rsidRPr="000D527A">
        <w:rPr>
          <w:rFonts w:ascii="標楷體" w:eastAsia="標楷體" w:hAnsi="標楷體" w:hint="eastAsia"/>
          <w:szCs w:val="24"/>
        </w:rPr>
        <w:t xml:space="preserve">         3.期中、期末考查：其成績占學期成績百分之三十。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五、學業成績評量之科目，依高級中等學校課程綱要之規定；每一科目學分之計算，以每學</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期每週授課一節，或總授課節數達十八節，為一學分。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六、學生於定期學業成績評量時，因故不能參加全部科目或部分科目之評量，經學校核准給</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假者</w:t>
      </w:r>
      <w:proofErr w:type="gramEnd"/>
      <w:r w:rsidRPr="00545EB3">
        <w:rPr>
          <w:rFonts w:ascii="標楷體" w:eastAsia="標楷體" w:hAnsi="標楷體" w:hint="eastAsia"/>
          <w:szCs w:val="24"/>
        </w:rPr>
        <w:t>，准予補行考試或</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其他方式評量之，處理方式如下：</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)因公假、產前假、</w:t>
      </w:r>
      <w:proofErr w:type="gramStart"/>
      <w:r w:rsidRPr="00545EB3">
        <w:rPr>
          <w:rFonts w:ascii="標楷體" w:eastAsia="標楷體" w:hAnsi="標楷體" w:hint="eastAsia"/>
          <w:szCs w:val="24"/>
        </w:rPr>
        <w:t>娩</w:t>
      </w:r>
      <w:proofErr w:type="gramEnd"/>
      <w:r w:rsidRPr="00545EB3">
        <w:rPr>
          <w:rFonts w:ascii="標楷體" w:eastAsia="標楷體" w:hAnsi="標楷體" w:hint="eastAsia"/>
          <w:szCs w:val="24"/>
        </w:rPr>
        <w:t>假、流產假、育嬰假、生理假、喪假、或其他特殊事故，不能</w:t>
      </w:r>
    </w:p>
    <w:p w:rsidR="00AF5A96" w:rsidRPr="00545EB3" w:rsidRDefault="00AF5A96" w:rsidP="00AF5A96">
      <w:pPr>
        <w:spacing w:line="0" w:lineRule="atLeast"/>
        <w:ind w:left="960"/>
        <w:rPr>
          <w:rFonts w:ascii="標楷體" w:eastAsia="標楷體" w:hAnsi="標楷體"/>
          <w:szCs w:val="24"/>
        </w:rPr>
      </w:pPr>
      <w:r w:rsidRPr="00545EB3">
        <w:rPr>
          <w:rFonts w:ascii="標楷體" w:eastAsia="標楷體" w:hAnsi="標楷體" w:hint="eastAsia"/>
          <w:szCs w:val="24"/>
        </w:rPr>
        <w:t>參加全部科目或部分科目之考試，報經學校核准</w:t>
      </w:r>
      <w:proofErr w:type="gramStart"/>
      <w:r w:rsidRPr="00545EB3">
        <w:rPr>
          <w:rFonts w:ascii="標楷體" w:eastAsia="標楷體" w:hAnsi="標楷體" w:hint="eastAsia"/>
          <w:szCs w:val="24"/>
        </w:rPr>
        <w:t>給假者</w:t>
      </w:r>
      <w:proofErr w:type="gramEnd"/>
      <w:r w:rsidRPr="00545EB3">
        <w:rPr>
          <w:rFonts w:ascii="標楷體" w:eastAsia="標楷體" w:hAnsi="標楷體" w:hint="eastAsia"/>
          <w:szCs w:val="24"/>
        </w:rPr>
        <w:t>，准予補行考試或</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 xml:space="preserve">其他方式評量之，其成績以實得分數計算。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(二)因病假、事假不能參加全部科目或部分科目之考試，報經學校核准</w:t>
      </w:r>
      <w:proofErr w:type="gramStart"/>
      <w:r w:rsidRPr="00545EB3">
        <w:rPr>
          <w:rFonts w:ascii="標楷體" w:eastAsia="標楷體" w:hAnsi="標楷體" w:hint="eastAsia"/>
          <w:szCs w:val="24"/>
        </w:rPr>
        <w:t>給假者</w:t>
      </w:r>
      <w:proofErr w:type="gramEnd"/>
      <w:r w:rsidRPr="00545EB3">
        <w:rPr>
          <w:rFonts w:ascii="標楷體" w:eastAsia="標楷體" w:hAnsi="標楷體" w:hint="eastAsia"/>
          <w:szCs w:val="24"/>
        </w:rPr>
        <w:t>，准予補</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行考試或</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其他方式評量之，單科分數未滿60分者，以實得分數計算；超過60分</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者，其超出60分部份乘以七折核算之。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(三)未經准假無故缺考者，不予補行考試，其缺考科目之成績以零分計算。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七、學期學業平均之計算，為各科目學期成績乘以各該科學分數所得之總和，再除以所修習</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之總學分數，其計算方式如下：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 xml:space="preserve">)學年學業總平均成績之計算，以該學年度各學期學業總平均成績平均之。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(二)各科目學年學業成績之計算，以該學年度該科目各學期學業成績平均之。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八、學業成績以一百分為滿分，60分為及格。</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九、學生學期學業成績達及格基準之科目，授予學分，未達及格基準之科目，其成績達40</w:t>
      </w:r>
      <w:r w:rsidRPr="00545EB3">
        <w:rPr>
          <w:rFonts w:ascii="標楷體" w:eastAsia="標楷體" w:hAnsi="標楷體" w:hint="eastAsia"/>
          <w:szCs w:val="24"/>
        </w:rPr>
        <w:lastRenderedPageBreak/>
        <w:t>分，</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得予補考。前項補考之成績，依下列規定</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 xml:space="preserve">計：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)補考及格者，以60分計算並授予學分。</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(二)補考不及格者，不授予學分，該科目就補考後成績或原始成績擇優登錄。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(三)上、下學期結算學期成績後分別公告辦理學期補考一次，缺考者以自動放棄論， 不</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得要求另行補考。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(四)學生若遭遇特殊事故時，經輔導室評估列入輔導個案後，得經由本校「學生成績</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評量委員會」依規定審核狀況，並予以調整成績評量方式。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(五)學生學年學業成績達及格基準之科目，該學年度各學期均授予學分；其各學期成</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績仍應</w:t>
      </w:r>
      <w:proofErr w:type="gramEnd"/>
      <w:r w:rsidRPr="00545EB3">
        <w:rPr>
          <w:rFonts w:ascii="標楷體" w:eastAsia="標楷體" w:hAnsi="標楷體" w:hint="eastAsia"/>
          <w:szCs w:val="24"/>
        </w:rPr>
        <w:t xml:space="preserve">以該學期實得分數登錄。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十、學生於規定之修業期限內，各學期未取得學分之科目，已修習者，得申請重修；未修習</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者，得申請補修；高級中等學校課程綱要</w:t>
      </w:r>
      <w:proofErr w:type="gramStart"/>
      <w:r w:rsidRPr="00545EB3">
        <w:rPr>
          <w:rFonts w:ascii="標楷體" w:eastAsia="標楷體" w:hAnsi="標楷體" w:hint="eastAsia"/>
          <w:szCs w:val="24"/>
        </w:rPr>
        <w:t>之部定必修科目</w:t>
      </w:r>
      <w:proofErr w:type="gramEnd"/>
      <w:r w:rsidRPr="00545EB3">
        <w:rPr>
          <w:rFonts w:ascii="標楷體" w:eastAsia="標楷體" w:hAnsi="標楷體" w:hint="eastAsia"/>
          <w:szCs w:val="24"/>
        </w:rPr>
        <w:t>，</w:t>
      </w:r>
      <w:proofErr w:type="gramStart"/>
      <w:r w:rsidRPr="00545EB3">
        <w:rPr>
          <w:rFonts w:ascii="標楷體" w:eastAsia="標楷體" w:hAnsi="標楷體" w:hint="eastAsia"/>
          <w:szCs w:val="24"/>
        </w:rPr>
        <w:t>均應修</w:t>
      </w:r>
      <w:proofErr w:type="gramEnd"/>
      <w:r w:rsidRPr="00545EB3">
        <w:rPr>
          <w:rFonts w:ascii="標楷體" w:eastAsia="標楷體" w:hAnsi="標楷體" w:hint="eastAsia"/>
          <w:szCs w:val="24"/>
        </w:rPr>
        <w:t>習，因未修習而於前</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項各學期未取得學分者，應補修。其重(補)修方式依本校「學生重(補)修學分實施要點」</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辦理，成績登錄依下列規定</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計</w:t>
      </w:r>
      <w:proofErr w:type="gramStart"/>
      <w:r w:rsidRPr="00545EB3">
        <w:rPr>
          <w:rFonts w:ascii="標楷體" w:eastAsia="標楷體" w:hAnsi="標楷體" w:hint="eastAsia"/>
          <w:szCs w:val="24"/>
        </w:rPr>
        <w:t>︰</w:t>
      </w:r>
      <w:proofErr w:type="gramEnd"/>
      <w:r w:rsidRPr="00545EB3">
        <w:rPr>
          <w:rFonts w:ascii="標楷體" w:eastAsia="標楷體" w:hAnsi="標楷體" w:hint="eastAsia"/>
          <w:szCs w:val="24"/>
        </w:rPr>
        <w:t xml:space="preserve">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)重修後成績及格之科目，授予學分，依及格基準分數登錄；未達及格基準者，就重</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修前後成績，擇優登錄。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(二)補修依實得成績登錄。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十一、學生各學年度取得之學分數，未達該學年</w:t>
      </w:r>
      <w:proofErr w:type="gramStart"/>
      <w:r w:rsidRPr="00545EB3">
        <w:rPr>
          <w:rFonts w:ascii="標楷體" w:eastAsia="標楷體" w:hAnsi="標楷體" w:hint="eastAsia"/>
          <w:szCs w:val="24"/>
        </w:rPr>
        <w:t>度修習總</w:t>
      </w:r>
      <w:proofErr w:type="gramEnd"/>
      <w:r w:rsidRPr="00545EB3">
        <w:rPr>
          <w:rFonts w:ascii="標楷體" w:eastAsia="標楷體" w:hAnsi="標楷體" w:hint="eastAsia"/>
          <w:szCs w:val="24"/>
        </w:rPr>
        <w:t>學分數二分之一者，得重讀；該學</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年度取得之學分數計算，應包括補考、重修及補修後及格科目之學分數。重讀學分之</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計算如下：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 xml:space="preserve">)重讀時，其成績以重讀之實得分數登錄。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(二)學生對於重讀前已</w:t>
      </w:r>
      <w:proofErr w:type="gramStart"/>
      <w:r w:rsidRPr="00545EB3">
        <w:rPr>
          <w:rFonts w:ascii="標楷體" w:eastAsia="標楷體" w:hAnsi="標楷體" w:hint="eastAsia"/>
          <w:szCs w:val="24"/>
        </w:rPr>
        <w:t>修習且取得</w:t>
      </w:r>
      <w:proofErr w:type="gramEnd"/>
      <w:r w:rsidRPr="00545EB3">
        <w:rPr>
          <w:rFonts w:ascii="標楷體" w:eastAsia="標楷體" w:hAnsi="標楷體" w:hint="eastAsia"/>
          <w:szCs w:val="24"/>
        </w:rPr>
        <w:t>學分之科目，於各學期開學日前申請免修者，學校應</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准予免修，該科目原成績列入重讀學期之成績一併計算；未申請免修而自願再次選</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讀者，該科目成績，應就再次選讀之成績或原成績擇優登錄。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(三)重讀學生得申請參加學校相關之諮商輔導。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十二、新生、轉學(科)生、復學生，已修習及格之科目及學分，經審查符合課程規定要求，</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得列抵免</w:t>
      </w:r>
      <w:proofErr w:type="gramEnd"/>
      <w:r w:rsidRPr="00545EB3">
        <w:rPr>
          <w:rFonts w:ascii="標楷體" w:eastAsia="標楷體" w:hAnsi="標楷體" w:hint="eastAsia"/>
          <w:szCs w:val="24"/>
        </w:rPr>
        <w:t>修，其科目成績，依原始成績登錄，未取得學分之科目，應重修或補修。持</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國中畢業證書之高一新生，入學前於他校已修習之學分及成績均不予</w:t>
      </w:r>
      <w:proofErr w:type="gramStart"/>
      <w:r w:rsidRPr="00545EB3">
        <w:rPr>
          <w:rFonts w:ascii="標楷體" w:eastAsia="標楷體" w:hAnsi="標楷體" w:hint="eastAsia"/>
          <w:szCs w:val="24"/>
        </w:rPr>
        <w:t>採</w:t>
      </w:r>
      <w:proofErr w:type="gramEnd"/>
      <w:r w:rsidRPr="00545EB3">
        <w:rPr>
          <w:rFonts w:ascii="標楷體" w:eastAsia="標楷體" w:hAnsi="標楷體" w:hint="eastAsia"/>
          <w:szCs w:val="24"/>
        </w:rPr>
        <w:t>計，入學後其</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學分數與成績重新計算。</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十三、資賦優異學生得依身心發展狀況、學習需要及意願，向教務處申請縮短修業年限；其</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辦理方式，依特殊教育學生調整入學年齡及縮短修業年限實施辦法及其相關法規之</w:t>
      </w:r>
      <w:proofErr w:type="gramStart"/>
      <w:r w:rsidRPr="00545EB3">
        <w:rPr>
          <w:rFonts w:ascii="標楷體" w:eastAsia="標楷體" w:hAnsi="標楷體" w:hint="eastAsia"/>
          <w:szCs w:val="24"/>
        </w:rPr>
        <w:t>規</w:t>
      </w:r>
      <w:proofErr w:type="gramEnd"/>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定辦理。</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十四、學校得推薦學生赴專科以上學校預修進階專業課程，其辦理方式及學習評量，由學校</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與合作技專校院共同協調訂定之。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十五、德行評量，依學生行為事實作綜合評量，不評定分數及等第，評量項目如下：</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 xml:space="preserve">)綜合表現及校內外特殊表現。 </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(二)服務學習。</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(三)獎懲紀錄。</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(四)出缺席紀錄。</w:t>
      </w:r>
    </w:p>
    <w:p w:rsidR="00AF5A96" w:rsidRPr="00545EB3" w:rsidRDefault="00AF5A96" w:rsidP="00AF5A96">
      <w:pPr>
        <w:spacing w:line="0" w:lineRule="atLeast"/>
        <w:rPr>
          <w:rFonts w:ascii="標楷體" w:eastAsia="標楷體" w:hAnsi="標楷體"/>
          <w:szCs w:val="24"/>
        </w:rPr>
      </w:pPr>
      <w:r w:rsidRPr="00545EB3">
        <w:rPr>
          <w:rFonts w:ascii="標楷體" w:eastAsia="標楷體" w:hAnsi="標楷體" w:hint="eastAsia"/>
          <w:szCs w:val="24"/>
        </w:rPr>
        <w:t xml:space="preserve">     (五)具體建議。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德行評量以學期為階段，由導師依上述各款規定，參考各科任課教師及相關行政單位提</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供之意見，依行為事實記錄，並視需要提出具體建議，作為學生適性輔導及其他適性教</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lastRenderedPageBreak/>
        <w:t xml:space="preserve">     育處置之依據。 重(補)修、復學學生及延長修業期限學生之德行評量，由學校依其修</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課情形，參酌一般學生之規定辦理。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十六、德行評量之獎懲，依下列規定辦理：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一</w:t>
      </w:r>
      <w:proofErr w:type="gramEnd"/>
      <w:r w:rsidRPr="00545EB3">
        <w:rPr>
          <w:rFonts w:ascii="標楷體" w:eastAsia="標楷體" w:hAnsi="標楷體" w:hint="eastAsia"/>
          <w:szCs w:val="24"/>
        </w:rPr>
        <w:t>)獎勵：分為嘉獎、小功及大功。</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(二)懲處：分為警告、小過、大過。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學生之獎懲，除應通知學生、導師、家長或監護人外，於學期結束時列入德行評量。</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獎懲項目、事由、程序、獎懲相抵及銷過之相關規定，依本校「學生獎懲實施要點」</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及「學生改過銷過實施要點」等相關規定辦理。 </w:t>
      </w:r>
    </w:p>
    <w:p w:rsidR="00AF5A96" w:rsidRPr="00545EB3" w:rsidRDefault="00AF5A96" w:rsidP="008106A9">
      <w:pPr>
        <w:tabs>
          <w:tab w:val="left" w:pos="540"/>
          <w:tab w:val="left" w:pos="900"/>
        </w:tabs>
        <w:spacing w:line="0" w:lineRule="atLeast"/>
        <w:ind w:left="1133" w:hangingChars="472" w:hanging="1133"/>
        <w:rPr>
          <w:rFonts w:ascii="標楷體" w:eastAsia="標楷體" w:hAnsi="標楷體"/>
          <w:szCs w:val="24"/>
        </w:rPr>
      </w:pPr>
      <w:r w:rsidRPr="00545EB3">
        <w:rPr>
          <w:rFonts w:ascii="標楷體" w:eastAsia="標楷體" w:hAnsi="標楷體" w:hint="eastAsia"/>
          <w:szCs w:val="24"/>
        </w:rPr>
        <w:t xml:space="preserve">   十七、學生請假別，分為公假、事假、病假、婚假、產前假、</w:t>
      </w:r>
      <w:proofErr w:type="gramStart"/>
      <w:r w:rsidRPr="00545EB3">
        <w:rPr>
          <w:rFonts w:ascii="標楷體" w:eastAsia="標楷體" w:hAnsi="標楷體" w:hint="eastAsia"/>
          <w:szCs w:val="24"/>
        </w:rPr>
        <w:t>娩</w:t>
      </w:r>
      <w:proofErr w:type="gramEnd"/>
      <w:r w:rsidRPr="00545EB3">
        <w:rPr>
          <w:rFonts w:ascii="標楷體" w:eastAsia="標楷體" w:hAnsi="標楷體" w:hint="eastAsia"/>
          <w:szCs w:val="24"/>
        </w:rPr>
        <w:t>假、陪產假、流產假、育嬰假、生理假</w:t>
      </w:r>
      <w:r w:rsidR="00AD1C36" w:rsidRPr="00545EB3">
        <w:rPr>
          <w:rFonts w:ascii="標楷體" w:eastAsia="標楷體" w:hAnsi="標楷體" w:hint="eastAsia"/>
          <w:szCs w:val="24"/>
        </w:rPr>
        <w:t>、</w:t>
      </w:r>
      <w:r w:rsidRPr="00545EB3">
        <w:rPr>
          <w:rFonts w:ascii="標楷體" w:eastAsia="標楷體" w:hAnsi="標楷體" w:hint="eastAsia"/>
          <w:szCs w:val="24"/>
        </w:rPr>
        <w:t>喪假</w:t>
      </w:r>
      <w:r w:rsidR="00AD1C36" w:rsidRPr="000D527A">
        <w:rPr>
          <w:rFonts w:ascii="標楷體" w:eastAsia="標楷體" w:hAnsi="標楷體" w:hint="eastAsia"/>
          <w:szCs w:val="24"/>
        </w:rPr>
        <w:t>及僑生返鄉假</w:t>
      </w:r>
      <w:r w:rsidRPr="00545EB3">
        <w:rPr>
          <w:rFonts w:ascii="標楷體" w:eastAsia="標楷體" w:hAnsi="標楷體" w:hint="eastAsia"/>
          <w:szCs w:val="24"/>
        </w:rPr>
        <w:t>；其請假規定及德行評量之出缺席紀錄，依本校「學生請假</w:t>
      </w:r>
      <w:proofErr w:type="gramStart"/>
      <w:r w:rsidRPr="00545EB3">
        <w:rPr>
          <w:rFonts w:ascii="標楷體" w:eastAsia="標楷體" w:hAnsi="標楷體" w:hint="eastAsia"/>
          <w:szCs w:val="24"/>
        </w:rPr>
        <w:t>規定暨出缺席</w:t>
      </w:r>
      <w:proofErr w:type="gramEnd"/>
      <w:r w:rsidRPr="00545EB3">
        <w:rPr>
          <w:rFonts w:ascii="標楷體" w:eastAsia="標楷體" w:hAnsi="標楷體" w:hint="eastAsia"/>
          <w:szCs w:val="24"/>
        </w:rPr>
        <w:t xml:space="preserve">考查辦法」辦理。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十八、學生缺課，除經學校依請假規定核准</w:t>
      </w:r>
      <w:proofErr w:type="gramStart"/>
      <w:r w:rsidRPr="00545EB3">
        <w:rPr>
          <w:rFonts w:ascii="標楷體" w:eastAsia="標楷體" w:hAnsi="標楷體" w:hint="eastAsia"/>
          <w:szCs w:val="24"/>
        </w:rPr>
        <w:t>給假者外</w:t>
      </w:r>
      <w:proofErr w:type="gramEnd"/>
      <w:r w:rsidRPr="00545EB3">
        <w:rPr>
          <w:rFonts w:ascii="標楷體" w:eastAsia="標楷體" w:hAnsi="標楷體" w:hint="eastAsia"/>
          <w:szCs w:val="24"/>
        </w:rPr>
        <w:t>，其缺課節數達該科目全學期教學總</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節數三分之一者，該科目學期學業成績以零分計算。前項學校核准給假</w:t>
      </w:r>
      <w:proofErr w:type="gramStart"/>
      <w:r w:rsidRPr="00545EB3">
        <w:rPr>
          <w:rFonts w:ascii="標楷體" w:eastAsia="標楷體" w:hAnsi="標楷體" w:hint="eastAsia"/>
          <w:szCs w:val="24"/>
        </w:rPr>
        <w:t>之假別</w:t>
      </w:r>
      <w:proofErr w:type="gramEnd"/>
      <w:r w:rsidRPr="00545EB3">
        <w:rPr>
          <w:rFonts w:ascii="標楷體" w:eastAsia="標楷體" w:hAnsi="標楷體" w:hint="eastAsia"/>
          <w:szCs w:val="24"/>
        </w:rPr>
        <w:t>，不</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包括事假。學生缺課致影響課業時，學校應視其情形提供預警措施，並給予個別輔</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導。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十九、學生除公假外，全學期缺課達</w:t>
      </w:r>
      <w:proofErr w:type="gramStart"/>
      <w:r w:rsidRPr="00545EB3">
        <w:rPr>
          <w:rFonts w:ascii="標楷體" w:eastAsia="標楷體" w:hAnsi="標楷體" w:hint="eastAsia"/>
          <w:szCs w:val="24"/>
        </w:rPr>
        <w:t>教學總節數</w:t>
      </w:r>
      <w:proofErr w:type="gramEnd"/>
      <w:r w:rsidRPr="00545EB3">
        <w:rPr>
          <w:rFonts w:ascii="標楷體" w:eastAsia="標楷體" w:hAnsi="標楷體" w:hint="eastAsia"/>
          <w:szCs w:val="24"/>
        </w:rPr>
        <w:t>二分之一或曠課累積達42節者，經提學</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生事務會議通過後，依本校「學生請假</w:t>
      </w:r>
      <w:proofErr w:type="gramStart"/>
      <w:r w:rsidRPr="00545EB3">
        <w:rPr>
          <w:rFonts w:ascii="標楷體" w:eastAsia="標楷體" w:hAnsi="標楷體" w:hint="eastAsia"/>
          <w:szCs w:val="24"/>
        </w:rPr>
        <w:t>規定暨出缺席</w:t>
      </w:r>
      <w:proofErr w:type="gramEnd"/>
      <w:r w:rsidRPr="00545EB3">
        <w:rPr>
          <w:rFonts w:ascii="標楷體" w:eastAsia="標楷體" w:hAnsi="標楷體" w:hint="eastAsia"/>
          <w:szCs w:val="24"/>
        </w:rPr>
        <w:t>考查辦法」規定實施輔導及安</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置。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廿 、學生學習評量結果，依下列規定處理： </w:t>
      </w:r>
    </w:p>
    <w:p w:rsidR="00065D87" w:rsidRPr="000D527A" w:rsidRDefault="00065D87" w:rsidP="00065D87">
      <w:pPr>
        <w:pStyle w:val="a9"/>
        <w:numPr>
          <w:ilvl w:val="0"/>
          <w:numId w:val="11"/>
        </w:numPr>
        <w:tabs>
          <w:tab w:val="left" w:pos="540"/>
          <w:tab w:val="left" w:pos="900"/>
        </w:tabs>
        <w:spacing w:line="0" w:lineRule="atLeast"/>
        <w:ind w:leftChars="0"/>
        <w:rPr>
          <w:rFonts w:ascii="標楷體" w:eastAsia="標楷體" w:hAnsi="標楷體"/>
          <w:szCs w:val="24"/>
        </w:rPr>
      </w:pPr>
      <w:r w:rsidRPr="000D527A">
        <w:rPr>
          <w:rFonts w:ascii="標楷體" w:eastAsia="標楷體" w:hAnsi="標楷體" w:hint="eastAsia"/>
          <w:szCs w:val="24"/>
        </w:rPr>
        <w:t>修業期滿，符合課程綱要所定畢業條件</w:t>
      </w:r>
      <w:r w:rsidR="00AF5A96" w:rsidRPr="000D527A">
        <w:rPr>
          <w:rFonts w:ascii="標楷體" w:eastAsia="標楷體" w:hAnsi="標楷體" w:hint="eastAsia"/>
          <w:szCs w:val="24"/>
        </w:rPr>
        <w:t>，且德行評量之獎懲記錄相抵後未滿3大</w:t>
      </w:r>
    </w:p>
    <w:p w:rsidR="00AF5A96" w:rsidRPr="000D527A" w:rsidRDefault="00AF5A96" w:rsidP="00065D87">
      <w:pPr>
        <w:pStyle w:val="a9"/>
        <w:tabs>
          <w:tab w:val="left" w:pos="540"/>
          <w:tab w:val="left" w:pos="900"/>
        </w:tabs>
        <w:spacing w:line="0" w:lineRule="atLeast"/>
        <w:ind w:leftChars="0" w:left="1305"/>
        <w:rPr>
          <w:rFonts w:ascii="標楷體" w:eastAsia="標楷體" w:hAnsi="標楷體"/>
          <w:szCs w:val="24"/>
        </w:rPr>
      </w:pPr>
      <w:r w:rsidRPr="000D527A">
        <w:rPr>
          <w:rFonts w:ascii="標楷體" w:eastAsia="標楷體" w:hAnsi="標楷體" w:hint="eastAsia"/>
          <w:szCs w:val="24"/>
        </w:rPr>
        <w:t xml:space="preserve">過者，准予畢業並發給畢業證書。 </w:t>
      </w:r>
    </w:p>
    <w:p w:rsidR="00065D87" w:rsidRPr="00065D87" w:rsidRDefault="00AF5A96" w:rsidP="00065D87">
      <w:pPr>
        <w:pStyle w:val="a9"/>
        <w:numPr>
          <w:ilvl w:val="0"/>
          <w:numId w:val="11"/>
        </w:numPr>
        <w:tabs>
          <w:tab w:val="left" w:pos="540"/>
          <w:tab w:val="left" w:pos="900"/>
        </w:tabs>
        <w:spacing w:line="0" w:lineRule="atLeast"/>
        <w:ind w:leftChars="0"/>
        <w:rPr>
          <w:rFonts w:ascii="標楷體" w:eastAsia="標楷體" w:hAnsi="標楷體"/>
          <w:szCs w:val="24"/>
        </w:rPr>
      </w:pPr>
      <w:r w:rsidRPr="00065D87">
        <w:rPr>
          <w:rFonts w:ascii="標楷體" w:eastAsia="標楷體" w:hAnsi="標楷體" w:hint="eastAsia"/>
          <w:szCs w:val="24"/>
        </w:rPr>
        <w:t>課程標準或綱要規定修畢科目學分若有變動，其畢業資格之認定依最有利之畢業</w:t>
      </w:r>
    </w:p>
    <w:p w:rsidR="00AF5A96" w:rsidRPr="00065D87" w:rsidRDefault="00AF5A96" w:rsidP="00065D87">
      <w:pPr>
        <w:pStyle w:val="a9"/>
        <w:tabs>
          <w:tab w:val="left" w:pos="540"/>
          <w:tab w:val="left" w:pos="900"/>
        </w:tabs>
        <w:spacing w:line="0" w:lineRule="atLeast"/>
        <w:ind w:leftChars="0" w:left="1305"/>
        <w:rPr>
          <w:rFonts w:ascii="標楷體" w:eastAsia="標楷體" w:hAnsi="標楷體"/>
          <w:szCs w:val="24"/>
        </w:rPr>
      </w:pPr>
      <w:r w:rsidRPr="00065D87">
        <w:rPr>
          <w:rFonts w:ascii="標楷體" w:eastAsia="標楷體" w:hAnsi="標楷體" w:hint="eastAsia"/>
          <w:szCs w:val="24"/>
        </w:rPr>
        <w:t xml:space="preserve">資格認定方式處理。 </w:t>
      </w:r>
    </w:p>
    <w:p w:rsidR="00AF5A96" w:rsidRPr="00545EB3" w:rsidRDefault="00AF5A96" w:rsidP="00AF5A96">
      <w:pPr>
        <w:tabs>
          <w:tab w:val="left" w:pos="540"/>
          <w:tab w:val="left" w:pos="900"/>
        </w:tabs>
        <w:spacing w:line="0" w:lineRule="atLeast"/>
        <w:ind w:left="1440" w:hangingChars="600" w:hanging="1440"/>
        <w:rPr>
          <w:rFonts w:ascii="標楷體" w:eastAsia="標楷體" w:hAnsi="標楷體"/>
          <w:szCs w:val="24"/>
        </w:rPr>
      </w:pPr>
      <w:r w:rsidRPr="00545EB3">
        <w:rPr>
          <w:rFonts w:ascii="標楷體" w:eastAsia="標楷體" w:hAnsi="標楷體" w:hint="eastAsia"/>
          <w:szCs w:val="24"/>
        </w:rPr>
        <w:t xml:space="preserve">       (</w:t>
      </w:r>
      <w:r w:rsidR="00065D87">
        <w:rPr>
          <w:rFonts w:ascii="標楷體" w:eastAsia="標楷體" w:hAnsi="標楷體" w:hint="eastAsia"/>
          <w:szCs w:val="24"/>
        </w:rPr>
        <w:t>三</w:t>
      </w:r>
      <w:r w:rsidRPr="00545EB3">
        <w:rPr>
          <w:rFonts w:ascii="標楷體" w:eastAsia="標楷體" w:hAnsi="標楷體" w:hint="eastAsia"/>
          <w:szCs w:val="24"/>
        </w:rPr>
        <w:t>)學生修業年限以三年為原則，最多五年(含重讀、延修</w:t>
      </w:r>
      <w:proofErr w:type="gramStart"/>
      <w:r w:rsidRPr="00545EB3">
        <w:rPr>
          <w:rFonts w:ascii="標楷體" w:eastAsia="標楷體" w:hAnsi="標楷體" w:hint="eastAsia"/>
          <w:szCs w:val="24"/>
        </w:rPr>
        <w:t>期間，</w:t>
      </w:r>
      <w:proofErr w:type="gramEnd"/>
      <w:r w:rsidRPr="00545EB3">
        <w:rPr>
          <w:rFonts w:ascii="標楷體" w:eastAsia="標楷體" w:hAnsi="標楷體" w:hint="eastAsia"/>
          <w:szCs w:val="24"/>
        </w:rPr>
        <w:t>不含休學</w:t>
      </w:r>
      <w:proofErr w:type="gramStart"/>
      <w:r w:rsidRPr="00545EB3">
        <w:rPr>
          <w:rFonts w:ascii="標楷體" w:eastAsia="標楷體" w:hAnsi="標楷體" w:hint="eastAsia"/>
          <w:szCs w:val="24"/>
        </w:rPr>
        <w:t>期間)</w:t>
      </w:r>
      <w:proofErr w:type="gramEnd"/>
      <w:r w:rsidRPr="00545EB3">
        <w:rPr>
          <w:rFonts w:ascii="標楷體" w:eastAsia="標楷體" w:hAnsi="標楷體" w:hint="eastAsia"/>
          <w:szCs w:val="24"/>
        </w:rPr>
        <w:t xml:space="preserve">，依教育部所訂課程規定修業期滿，已修畢 120 </w:t>
      </w:r>
      <w:proofErr w:type="gramStart"/>
      <w:r w:rsidRPr="00545EB3">
        <w:rPr>
          <w:rFonts w:ascii="標楷體" w:eastAsia="標楷體" w:hAnsi="標楷體" w:hint="eastAsia"/>
          <w:szCs w:val="24"/>
        </w:rPr>
        <w:t>個</w:t>
      </w:r>
      <w:proofErr w:type="gramEnd"/>
      <w:r w:rsidRPr="00545EB3">
        <w:rPr>
          <w:rFonts w:ascii="標楷體" w:eastAsia="標楷體" w:hAnsi="標楷體" w:hint="eastAsia"/>
          <w:szCs w:val="24"/>
        </w:rPr>
        <w:t>畢業應修</w:t>
      </w:r>
      <w:proofErr w:type="gramStart"/>
      <w:r w:rsidRPr="00545EB3">
        <w:rPr>
          <w:rFonts w:ascii="標楷體" w:eastAsia="標楷體" w:hAnsi="標楷體" w:hint="eastAsia"/>
          <w:szCs w:val="24"/>
        </w:rPr>
        <w:t>學分數但成績</w:t>
      </w:r>
      <w:proofErr w:type="gramEnd"/>
      <w:r w:rsidRPr="00545EB3">
        <w:rPr>
          <w:rFonts w:ascii="標楷體" w:eastAsia="標楷體" w:hAnsi="標楷體" w:hint="eastAsia"/>
          <w:szCs w:val="24"/>
        </w:rPr>
        <w:t xml:space="preserve">評量結 果不符合畢業規定者，發給修業證明書，修業證明書一經核發，學生不得要求返校重修、補修、延修或改發畢業證書。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廿一、學生及其家長或監護人，收到成績單或考評後，如對成績評量有疑義時，得於</w:t>
      </w:r>
      <w:proofErr w:type="gramStart"/>
      <w:r w:rsidRPr="00545EB3">
        <w:rPr>
          <w:rFonts w:ascii="標楷體" w:eastAsia="標楷體" w:hAnsi="標楷體" w:hint="eastAsia"/>
          <w:szCs w:val="24"/>
        </w:rPr>
        <w:t>一</w:t>
      </w:r>
      <w:proofErr w:type="gramEnd"/>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w:t>
      </w:r>
      <w:proofErr w:type="gramStart"/>
      <w:r w:rsidRPr="00545EB3">
        <w:rPr>
          <w:rFonts w:ascii="標楷體" w:eastAsia="標楷體" w:hAnsi="標楷體" w:hint="eastAsia"/>
          <w:szCs w:val="24"/>
        </w:rPr>
        <w:t>週</w:t>
      </w:r>
      <w:proofErr w:type="gramEnd"/>
      <w:r w:rsidRPr="00545EB3">
        <w:rPr>
          <w:rFonts w:ascii="標楷體" w:eastAsia="標楷體" w:hAnsi="標楷體" w:hint="eastAsia"/>
          <w:szCs w:val="24"/>
        </w:rPr>
        <w:t xml:space="preserve">內向學校申請複查。 </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廿二、本補充規定未盡事宜，悉依高級中等學校學生學習評量辦法、高級中學課程標準</w:t>
      </w:r>
    </w:p>
    <w:p w:rsidR="00AF5A96" w:rsidRPr="00545EB3" w:rsidRDefault="00AF5A96" w:rsidP="00AF5A96">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及其他相關法令規定辦理。 </w:t>
      </w:r>
    </w:p>
    <w:p w:rsidR="00AF5A96" w:rsidRDefault="00AF5A96" w:rsidP="00B129E5">
      <w:pPr>
        <w:tabs>
          <w:tab w:val="left" w:pos="540"/>
          <w:tab w:val="left" w:pos="900"/>
        </w:tabs>
        <w:spacing w:line="0" w:lineRule="atLeast"/>
        <w:rPr>
          <w:rFonts w:ascii="標楷體" w:eastAsia="標楷體" w:hAnsi="標楷體"/>
          <w:szCs w:val="24"/>
        </w:rPr>
      </w:pPr>
      <w:r w:rsidRPr="00545EB3">
        <w:rPr>
          <w:rFonts w:ascii="標楷體" w:eastAsia="標楷體" w:hAnsi="標楷體" w:hint="eastAsia"/>
          <w:szCs w:val="24"/>
        </w:rPr>
        <w:t xml:space="preserve">     廿三、本補充規定經校務會議通過呈校長核定後實施，修正時亦同。</w:t>
      </w:r>
    </w:p>
    <w:p w:rsidR="006C6B2C" w:rsidRDefault="006C6B2C" w:rsidP="00B129E5">
      <w:pPr>
        <w:tabs>
          <w:tab w:val="left" w:pos="540"/>
          <w:tab w:val="left" w:pos="900"/>
        </w:tabs>
        <w:spacing w:line="0" w:lineRule="atLeast"/>
        <w:rPr>
          <w:rFonts w:ascii="標楷體" w:eastAsia="標楷體" w:hAnsi="標楷體"/>
          <w:szCs w:val="24"/>
        </w:rPr>
      </w:pPr>
      <w:bookmarkStart w:id="2" w:name="_GoBack"/>
      <w:bookmarkEnd w:id="0"/>
      <w:bookmarkEnd w:id="1"/>
      <w:bookmarkEnd w:id="2"/>
    </w:p>
    <w:sectPr w:rsidR="006C6B2C" w:rsidSect="005F4F81">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096" w:rsidRDefault="000D4096" w:rsidP="0022284A">
      <w:r>
        <w:separator/>
      </w:r>
    </w:p>
  </w:endnote>
  <w:endnote w:type="continuationSeparator" w:id="0">
    <w:p w:rsidR="000D4096" w:rsidRDefault="000D4096" w:rsidP="00222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4702292"/>
      <w:docPartObj>
        <w:docPartGallery w:val="Page Numbers (Bottom of Page)"/>
        <w:docPartUnique/>
      </w:docPartObj>
    </w:sdtPr>
    <w:sdtEndPr/>
    <w:sdtContent>
      <w:p w:rsidR="00393347" w:rsidRDefault="00783F8B">
        <w:pPr>
          <w:pStyle w:val="a5"/>
          <w:jc w:val="center"/>
        </w:pPr>
        <w:r>
          <w:fldChar w:fldCharType="begin"/>
        </w:r>
        <w:r w:rsidR="00393347">
          <w:instrText>PAGE   \* MERGEFORMAT</w:instrText>
        </w:r>
        <w:r>
          <w:fldChar w:fldCharType="separate"/>
        </w:r>
        <w:r w:rsidR="000D527A" w:rsidRPr="000D527A">
          <w:rPr>
            <w:noProof/>
            <w:lang w:val="zh-TW"/>
          </w:rPr>
          <w:t>3</w:t>
        </w:r>
        <w:r>
          <w:fldChar w:fldCharType="end"/>
        </w:r>
      </w:p>
    </w:sdtContent>
  </w:sdt>
  <w:p w:rsidR="00393347" w:rsidRDefault="0039334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096" w:rsidRDefault="000D4096" w:rsidP="0022284A">
      <w:r>
        <w:separator/>
      </w:r>
    </w:p>
  </w:footnote>
  <w:footnote w:type="continuationSeparator" w:id="0">
    <w:p w:rsidR="000D4096" w:rsidRDefault="000D4096" w:rsidP="00222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16D1D"/>
    <w:multiLevelType w:val="hybridMultilevel"/>
    <w:tmpl w:val="589235F0"/>
    <w:lvl w:ilvl="0" w:tplc="AB1A9552">
      <w:start w:val="2"/>
      <w:numFmt w:val="taiwaneseCountingThousand"/>
      <w:lvlText w:val="%1、"/>
      <w:lvlJc w:val="left"/>
      <w:pPr>
        <w:ind w:left="720" w:hanging="720"/>
      </w:pPr>
      <w:rPr>
        <w:rFonts w:hint="default"/>
      </w:rPr>
    </w:lvl>
    <w:lvl w:ilvl="1" w:tplc="8A624FAA">
      <w:start w:val="1"/>
      <w:numFmt w:val="decimal"/>
      <w:lvlText w:val="%2、"/>
      <w:lvlJc w:val="left"/>
      <w:pPr>
        <w:ind w:left="1200" w:hanging="72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F02523D"/>
    <w:multiLevelType w:val="hybridMultilevel"/>
    <w:tmpl w:val="3FFE5042"/>
    <w:lvl w:ilvl="0" w:tplc="F904DA90">
      <w:start w:val="7"/>
      <w:numFmt w:val="bullet"/>
      <w:lvlText w:val="□"/>
      <w:lvlJc w:val="left"/>
      <w:pPr>
        <w:ind w:left="360" w:hanging="36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23245ECD"/>
    <w:multiLevelType w:val="multilevel"/>
    <w:tmpl w:val="4FFABB20"/>
    <w:lvl w:ilvl="0">
      <w:start w:val="1"/>
      <w:numFmt w:val="taiwaneseCountingThousand"/>
      <w:lvlText w:val="(%1)"/>
      <w:lvlJc w:val="left"/>
      <w:pPr>
        <w:tabs>
          <w:tab w:val="num" w:pos="720"/>
        </w:tabs>
        <w:ind w:left="720" w:hanging="360"/>
      </w:pPr>
      <w:rPr>
        <w:rFonts w:cs="新細明體"/>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3536836"/>
    <w:multiLevelType w:val="multilevel"/>
    <w:tmpl w:val="6D640CD8"/>
    <w:lvl w:ilvl="0">
      <w:start w:val="1"/>
      <w:numFmt w:val="taiwaneseCountingThousand"/>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6B828DC"/>
    <w:multiLevelType w:val="hybridMultilevel"/>
    <w:tmpl w:val="C61C99E2"/>
    <w:lvl w:ilvl="0" w:tplc="55E839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8A21A86"/>
    <w:multiLevelType w:val="multilevel"/>
    <w:tmpl w:val="95E60208"/>
    <w:lvl w:ilvl="0">
      <w:start w:val="1"/>
      <w:numFmt w:val="taiwaneseCountingThousand"/>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FA74875"/>
    <w:multiLevelType w:val="multilevel"/>
    <w:tmpl w:val="F326BBE8"/>
    <w:lvl w:ilvl="0">
      <w:start w:val="1"/>
      <w:numFmt w:val="taiwaneseCountingThousand"/>
      <w:lvlText w:val="(%1)"/>
      <w:lvlJc w:val="left"/>
      <w:pPr>
        <w:tabs>
          <w:tab w:val="num" w:pos="720"/>
        </w:tabs>
        <w:ind w:left="720" w:hanging="360"/>
      </w:pPr>
      <w:rPr>
        <w:rFonts w:cs="新細明體"/>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3336BC5"/>
    <w:multiLevelType w:val="hybridMultilevel"/>
    <w:tmpl w:val="7B50102A"/>
    <w:lvl w:ilvl="0" w:tplc="EB6AC2CA">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3CB35D46"/>
    <w:multiLevelType w:val="hybridMultilevel"/>
    <w:tmpl w:val="5C6E478A"/>
    <w:lvl w:ilvl="0" w:tplc="4DC4D8A2">
      <w:start w:val="1"/>
      <w:numFmt w:val="taiwaneseCountingThousand"/>
      <w:lvlText w:val="%1、"/>
      <w:lvlJc w:val="left"/>
      <w:pPr>
        <w:tabs>
          <w:tab w:val="num" w:pos="1260"/>
        </w:tabs>
        <w:ind w:left="1260" w:hanging="720"/>
      </w:pPr>
      <w:rPr>
        <w:rFonts w:hint="default"/>
        <w:sz w:val="36"/>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46321F49"/>
    <w:multiLevelType w:val="hybridMultilevel"/>
    <w:tmpl w:val="50CAE556"/>
    <w:lvl w:ilvl="0" w:tplc="B14C6006">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0" w15:restartNumberingAfterBreak="0">
    <w:nsid w:val="4F6D4FDA"/>
    <w:multiLevelType w:val="hybridMultilevel"/>
    <w:tmpl w:val="3FAC2D58"/>
    <w:lvl w:ilvl="0" w:tplc="5AE22858">
      <w:start w:val="1"/>
      <w:numFmt w:val="taiwaneseCountingThousand"/>
      <w:lvlText w:val="(%1)"/>
      <w:lvlJc w:val="left"/>
      <w:pPr>
        <w:ind w:left="1047" w:hanging="480"/>
      </w:pPr>
      <w:rPr>
        <w:rFonts w:cs="新細明體"/>
        <w:color w:val="000000"/>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1" w15:restartNumberingAfterBreak="0">
    <w:nsid w:val="57F93D2B"/>
    <w:multiLevelType w:val="hybridMultilevel"/>
    <w:tmpl w:val="1DC0D378"/>
    <w:lvl w:ilvl="0" w:tplc="C86EC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03636E3"/>
    <w:multiLevelType w:val="hybridMultilevel"/>
    <w:tmpl w:val="464681C2"/>
    <w:lvl w:ilvl="0" w:tplc="89342B22">
      <w:start w:val="1"/>
      <w:numFmt w:val="taiwaneseCountingThousand"/>
      <w:lvlText w:val="(%1)"/>
      <w:lvlJc w:val="left"/>
      <w:pPr>
        <w:ind w:left="1305" w:hanging="480"/>
      </w:pPr>
      <w:rPr>
        <w:rFonts w:hint="default"/>
      </w:rPr>
    </w:lvl>
    <w:lvl w:ilvl="1" w:tplc="04090019" w:tentative="1">
      <w:start w:val="1"/>
      <w:numFmt w:val="ideographTraditional"/>
      <w:lvlText w:val="%2、"/>
      <w:lvlJc w:val="left"/>
      <w:pPr>
        <w:ind w:left="1785" w:hanging="480"/>
      </w:pPr>
    </w:lvl>
    <w:lvl w:ilvl="2" w:tplc="0409001B" w:tentative="1">
      <w:start w:val="1"/>
      <w:numFmt w:val="lowerRoman"/>
      <w:lvlText w:val="%3."/>
      <w:lvlJc w:val="right"/>
      <w:pPr>
        <w:ind w:left="2265" w:hanging="480"/>
      </w:pPr>
    </w:lvl>
    <w:lvl w:ilvl="3" w:tplc="0409000F" w:tentative="1">
      <w:start w:val="1"/>
      <w:numFmt w:val="decimal"/>
      <w:lvlText w:val="%4."/>
      <w:lvlJc w:val="left"/>
      <w:pPr>
        <w:ind w:left="2745" w:hanging="480"/>
      </w:pPr>
    </w:lvl>
    <w:lvl w:ilvl="4" w:tplc="04090019" w:tentative="1">
      <w:start w:val="1"/>
      <w:numFmt w:val="ideographTraditional"/>
      <w:lvlText w:val="%5、"/>
      <w:lvlJc w:val="left"/>
      <w:pPr>
        <w:ind w:left="3225" w:hanging="480"/>
      </w:pPr>
    </w:lvl>
    <w:lvl w:ilvl="5" w:tplc="0409001B" w:tentative="1">
      <w:start w:val="1"/>
      <w:numFmt w:val="lowerRoman"/>
      <w:lvlText w:val="%6."/>
      <w:lvlJc w:val="right"/>
      <w:pPr>
        <w:ind w:left="3705" w:hanging="480"/>
      </w:pPr>
    </w:lvl>
    <w:lvl w:ilvl="6" w:tplc="0409000F" w:tentative="1">
      <w:start w:val="1"/>
      <w:numFmt w:val="decimal"/>
      <w:lvlText w:val="%7."/>
      <w:lvlJc w:val="left"/>
      <w:pPr>
        <w:ind w:left="4185" w:hanging="480"/>
      </w:pPr>
    </w:lvl>
    <w:lvl w:ilvl="7" w:tplc="04090019" w:tentative="1">
      <w:start w:val="1"/>
      <w:numFmt w:val="ideographTraditional"/>
      <w:lvlText w:val="%8、"/>
      <w:lvlJc w:val="left"/>
      <w:pPr>
        <w:ind w:left="4665" w:hanging="480"/>
      </w:pPr>
    </w:lvl>
    <w:lvl w:ilvl="8" w:tplc="0409001B" w:tentative="1">
      <w:start w:val="1"/>
      <w:numFmt w:val="lowerRoman"/>
      <w:lvlText w:val="%9."/>
      <w:lvlJc w:val="right"/>
      <w:pPr>
        <w:ind w:left="5145" w:hanging="480"/>
      </w:pPr>
    </w:lvl>
  </w:abstractNum>
  <w:abstractNum w:abstractNumId="13" w15:restartNumberingAfterBreak="0">
    <w:nsid w:val="654D0220"/>
    <w:multiLevelType w:val="multilevel"/>
    <w:tmpl w:val="0C3CD1EA"/>
    <w:lvl w:ilvl="0">
      <w:start w:val="1"/>
      <w:numFmt w:val="taiwaneseCountingThousand"/>
      <w:lvlText w:val="%1、"/>
      <w:lvlJc w:val="left"/>
      <w:pPr>
        <w:tabs>
          <w:tab w:val="num" w:pos="360"/>
        </w:tabs>
        <w:ind w:left="360" w:hanging="360"/>
      </w:pPr>
      <w:rPr>
        <w:rFonts w:ascii="Times New Roman" w:hAnsi="Times New Roman" w:cs="Times New Roman" w:hint="default"/>
        <w:caps w:val="0"/>
        <w:strike w:val="0"/>
        <w:dstrike w:val="0"/>
        <w:vanish w:val="0"/>
        <w:webHidden w:val="0"/>
        <w:color w:val="000000"/>
        <w:sz w:val="24"/>
        <w:u w:val="none"/>
        <w:effect w:val="none"/>
        <w:vertAlign w:val="baseline"/>
        <w:specVanish w:val="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4" w15:restartNumberingAfterBreak="0">
    <w:nsid w:val="65FB26DC"/>
    <w:multiLevelType w:val="multilevel"/>
    <w:tmpl w:val="162ACF3A"/>
    <w:lvl w:ilvl="0">
      <w:start w:val="1"/>
      <w:numFmt w:val="taiwaneseCountingThousand"/>
      <w:lvlText w:val="(%1)"/>
      <w:lvlJc w:val="left"/>
      <w:pPr>
        <w:tabs>
          <w:tab w:val="num" w:pos="720"/>
        </w:tabs>
        <w:ind w:left="720" w:hanging="360"/>
      </w:pPr>
      <w:rPr>
        <w:rFonts w:cs="新細明體"/>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AE359CD"/>
    <w:multiLevelType w:val="hybridMultilevel"/>
    <w:tmpl w:val="EBB8774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BB004B0"/>
    <w:multiLevelType w:val="hybridMultilevel"/>
    <w:tmpl w:val="7B50102A"/>
    <w:lvl w:ilvl="0" w:tplc="EB6AC2CA">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70F6653F"/>
    <w:multiLevelType w:val="hybridMultilevel"/>
    <w:tmpl w:val="42D2EE28"/>
    <w:lvl w:ilvl="0" w:tplc="6FEE7FEE">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5"/>
  </w:num>
  <w:num w:numId="2">
    <w:abstractNumId w:val="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2"/>
  </w:num>
  <w:num w:numId="12">
    <w:abstractNumId w:val="7"/>
  </w:num>
  <w:num w:numId="13">
    <w:abstractNumId w:val="8"/>
  </w:num>
  <w:num w:numId="14">
    <w:abstractNumId w:val="4"/>
  </w:num>
  <w:num w:numId="15">
    <w:abstractNumId w:val="9"/>
  </w:num>
  <w:num w:numId="16">
    <w:abstractNumId w:val="16"/>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D2E"/>
    <w:rsid w:val="00022DED"/>
    <w:rsid w:val="00045ADF"/>
    <w:rsid w:val="00065D87"/>
    <w:rsid w:val="000A5873"/>
    <w:rsid w:val="000C11A5"/>
    <w:rsid w:val="000C362B"/>
    <w:rsid w:val="000C5534"/>
    <w:rsid w:val="000D4096"/>
    <w:rsid w:val="000D527A"/>
    <w:rsid w:val="0010663B"/>
    <w:rsid w:val="001561FE"/>
    <w:rsid w:val="001570CF"/>
    <w:rsid w:val="001615B0"/>
    <w:rsid w:val="00166FA0"/>
    <w:rsid w:val="001B436A"/>
    <w:rsid w:val="001D2370"/>
    <w:rsid w:val="00211BCE"/>
    <w:rsid w:val="00212592"/>
    <w:rsid w:val="00216B09"/>
    <w:rsid w:val="0022284A"/>
    <w:rsid w:val="00243D2E"/>
    <w:rsid w:val="002820C3"/>
    <w:rsid w:val="002832CD"/>
    <w:rsid w:val="002E272E"/>
    <w:rsid w:val="002F42C4"/>
    <w:rsid w:val="00307388"/>
    <w:rsid w:val="00335621"/>
    <w:rsid w:val="00343A6D"/>
    <w:rsid w:val="00356DAB"/>
    <w:rsid w:val="00393347"/>
    <w:rsid w:val="003A1BFF"/>
    <w:rsid w:val="004160FC"/>
    <w:rsid w:val="004738E5"/>
    <w:rsid w:val="00494AAB"/>
    <w:rsid w:val="004C6EF2"/>
    <w:rsid w:val="00501313"/>
    <w:rsid w:val="00523661"/>
    <w:rsid w:val="0054298A"/>
    <w:rsid w:val="00545EB3"/>
    <w:rsid w:val="00564046"/>
    <w:rsid w:val="005920F2"/>
    <w:rsid w:val="005E77A6"/>
    <w:rsid w:val="005F4F81"/>
    <w:rsid w:val="00600D1D"/>
    <w:rsid w:val="00672F5F"/>
    <w:rsid w:val="00694BEE"/>
    <w:rsid w:val="00696CA0"/>
    <w:rsid w:val="006C48CD"/>
    <w:rsid w:val="006C6B2C"/>
    <w:rsid w:val="006D112C"/>
    <w:rsid w:val="006D2BB6"/>
    <w:rsid w:val="00783F8B"/>
    <w:rsid w:val="0079242E"/>
    <w:rsid w:val="007F0F7B"/>
    <w:rsid w:val="007F3358"/>
    <w:rsid w:val="008106A9"/>
    <w:rsid w:val="0083726D"/>
    <w:rsid w:val="00851C90"/>
    <w:rsid w:val="00856361"/>
    <w:rsid w:val="008847C7"/>
    <w:rsid w:val="008B3D97"/>
    <w:rsid w:val="008B7077"/>
    <w:rsid w:val="008E3C76"/>
    <w:rsid w:val="00901646"/>
    <w:rsid w:val="00905627"/>
    <w:rsid w:val="00916F94"/>
    <w:rsid w:val="00955D08"/>
    <w:rsid w:val="009577A0"/>
    <w:rsid w:val="00990EF3"/>
    <w:rsid w:val="009F1125"/>
    <w:rsid w:val="00A12F66"/>
    <w:rsid w:val="00A32E43"/>
    <w:rsid w:val="00A55CEB"/>
    <w:rsid w:val="00A8212B"/>
    <w:rsid w:val="00A91F91"/>
    <w:rsid w:val="00AC5F48"/>
    <w:rsid w:val="00AD1C36"/>
    <w:rsid w:val="00AE6386"/>
    <w:rsid w:val="00AF5A96"/>
    <w:rsid w:val="00B01D50"/>
    <w:rsid w:val="00B129E5"/>
    <w:rsid w:val="00B21FA3"/>
    <w:rsid w:val="00B31409"/>
    <w:rsid w:val="00B364AC"/>
    <w:rsid w:val="00B3770F"/>
    <w:rsid w:val="00B827C7"/>
    <w:rsid w:val="00BB0902"/>
    <w:rsid w:val="00C34BA6"/>
    <w:rsid w:val="00CA5C68"/>
    <w:rsid w:val="00CC3775"/>
    <w:rsid w:val="00D40088"/>
    <w:rsid w:val="00D4156E"/>
    <w:rsid w:val="00DC5F29"/>
    <w:rsid w:val="00E03369"/>
    <w:rsid w:val="00E94E07"/>
    <w:rsid w:val="00EA364D"/>
    <w:rsid w:val="00FA4910"/>
    <w:rsid w:val="00FA71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EE2730-E04A-4D58-8C31-9AE8FD566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D2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243D2E"/>
    <w:pPr>
      <w:widowControl/>
      <w:ind w:left="720"/>
      <w:contextualSpacing/>
    </w:pPr>
    <w:rPr>
      <w:kern w:val="0"/>
      <w:szCs w:val="24"/>
    </w:rPr>
  </w:style>
  <w:style w:type="paragraph" w:styleId="a3">
    <w:name w:val="header"/>
    <w:basedOn w:val="a"/>
    <w:link w:val="a4"/>
    <w:uiPriority w:val="99"/>
    <w:unhideWhenUsed/>
    <w:rsid w:val="0022284A"/>
    <w:pPr>
      <w:tabs>
        <w:tab w:val="center" w:pos="4153"/>
        <w:tab w:val="right" w:pos="8306"/>
      </w:tabs>
      <w:snapToGrid w:val="0"/>
    </w:pPr>
    <w:rPr>
      <w:sz w:val="20"/>
      <w:szCs w:val="20"/>
    </w:rPr>
  </w:style>
  <w:style w:type="character" w:customStyle="1" w:styleId="a4">
    <w:name w:val="頁首 字元"/>
    <w:basedOn w:val="a0"/>
    <w:link w:val="a3"/>
    <w:uiPriority w:val="99"/>
    <w:rsid w:val="0022284A"/>
    <w:rPr>
      <w:rFonts w:ascii="Calibri" w:eastAsia="新細明體" w:hAnsi="Calibri" w:cs="Times New Roman"/>
      <w:sz w:val="20"/>
      <w:szCs w:val="20"/>
    </w:rPr>
  </w:style>
  <w:style w:type="paragraph" w:styleId="a5">
    <w:name w:val="footer"/>
    <w:basedOn w:val="a"/>
    <w:link w:val="a6"/>
    <w:uiPriority w:val="99"/>
    <w:unhideWhenUsed/>
    <w:rsid w:val="0022284A"/>
    <w:pPr>
      <w:tabs>
        <w:tab w:val="center" w:pos="4153"/>
        <w:tab w:val="right" w:pos="8306"/>
      </w:tabs>
      <w:snapToGrid w:val="0"/>
    </w:pPr>
    <w:rPr>
      <w:sz w:val="20"/>
      <w:szCs w:val="20"/>
    </w:rPr>
  </w:style>
  <w:style w:type="character" w:customStyle="1" w:styleId="a6">
    <w:name w:val="頁尾 字元"/>
    <w:basedOn w:val="a0"/>
    <w:link w:val="a5"/>
    <w:uiPriority w:val="99"/>
    <w:rsid w:val="0022284A"/>
    <w:rPr>
      <w:rFonts w:ascii="Calibri" w:eastAsia="新細明體" w:hAnsi="Calibri" w:cs="Times New Roman"/>
      <w:sz w:val="20"/>
      <w:szCs w:val="20"/>
    </w:rPr>
  </w:style>
  <w:style w:type="paragraph" w:styleId="a7">
    <w:name w:val="Balloon Text"/>
    <w:basedOn w:val="a"/>
    <w:link w:val="a8"/>
    <w:uiPriority w:val="99"/>
    <w:semiHidden/>
    <w:unhideWhenUsed/>
    <w:rsid w:val="00B01D5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01D50"/>
    <w:rPr>
      <w:rFonts w:asciiTheme="majorHAnsi" w:eastAsiaTheme="majorEastAsia" w:hAnsiTheme="majorHAnsi" w:cstheme="majorBidi"/>
      <w:sz w:val="18"/>
      <w:szCs w:val="18"/>
    </w:rPr>
  </w:style>
  <w:style w:type="paragraph" w:styleId="a9">
    <w:name w:val="List Paragraph"/>
    <w:basedOn w:val="a"/>
    <w:uiPriority w:val="34"/>
    <w:qFormat/>
    <w:rsid w:val="00065D87"/>
    <w:pPr>
      <w:ind w:leftChars="200" w:left="480"/>
    </w:pPr>
  </w:style>
  <w:style w:type="character" w:styleId="aa">
    <w:name w:val="Hyperlink"/>
    <w:rsid w:val="00AC5F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551804">
      <w:bodyDiv w:val="1"/>
      <w:marLeft w:val="0"/>
      <w:marRight w:val="0"/>
      <w:marTop w:val="0"/>
      <w:marBottom w:val="0"/>
      <w:divBdr>
        <w:top w:val="none" w:sz="0" w:space="0" w:color="auto"/>
        <w:left w:val="none" w:sz="0" w:space="0" w:color="auto"/>
        <w:bottom w:val="none" w:sz="0" w:space="0" w:color="auto"/>
        <w:right w:val="none" w:sz="0" w:space="0" w:color="auto"/>
      </w:divBdr>
    </w:div>
    <w:div w:id="1799225784">
      <w:bodyDiv w:val="1"/>
      <w:marLeft w:val="0"/>
      <w:marRight w:val="0"/>
      <w:marTop w:val="0"/>
      <w:marBottom w:val="0"/>
      <w:divBdr>
        <w:top w:val="none" w:sz="0" w:space="0" w:color="auto"/>
        <w:left w:val="none" w:sz="0" w:space="0" w:color="auto"/>
        <w:bottom w:val="none" w:sz="0" w:space="0" w:color="auto"/>
        <w:right w:val="none" w:sz="0" w:space="0" w:color="auto"/>
      </w:divBdr>
    </w:div>
    <w:div w:id="206906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570</Words>
  <Characters>3255</Characters>
  <Application>Microsoft Office Word</Application>
  <DocSecurity>0</DocSecurity>
  <Lines>27</Lines>
  <Paragraphs>7</Paragraphs>
  <ScaleCrop>false</ScaleCrop>
  <Company>SYNNEX</Company>
  <LinksUpToDate>false</LinksUpToDate>
  <CharactersWithSpaces>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思漢 余</cp:lastModifiedBy>
  <cp:revision>3</cp:revision>
  <cp:lastPrinted>2019-08-21T06:08:00Z</cp:lastPrinted>
  <dcterms:created xsi:type="dcterms:W3CDTF">2019-10-12T14:38:00Z</dcterms:created>
  <dcterms:modified xsi:type="dcterms:W3CDTF">2019-10-12T14:41:00Z</dcterms:modified>
</cp:coreProperties>
</file>